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560"/>
        </w:tabs>
        <w:spacing w:after="40"/>
        <w:ind w:left="1260" w:firstLine="720"/>
        <w:outlineLvl w:val="0"/>
      </w:pPr>
      <w:r>
        <w:rPr>
          <w:rFonts w:ascii="Arial" w:hAnsi="Arial"/>
          <w:sz w:val="20"/>
          <w:szCs w:val="20"/>
          <w:u w:color="00000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-297577</wp:posOffset>
                </wp:positionH>
                <wp:positionV relativeFrom="page">
                  <wp:posOffset>0</wp:posOffset>
                </wp:positionV>
                <wp:extent cx="1820400" cy="10693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00" cy="1069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LinkedIn &amp; Biography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instrText xml:space="preserve"> HYPERLINK "https://www.linkedin.com/in/mjdnet"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GB"/>
                              </w:rPr>
                              <w:t>LinkedIn Profile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instrText xml:space="preserve"> HYPERLINK "http://mjd.net/MJD/Bio"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GB"/>
                              </w:rPr>
                              <w:t>Biography Page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outline w:val="0"/>
                                <w:color w:val="0079ff"/>
                                <w:sz w:val="20"/>
                                <w:szCs w:val="20"/>
                                <w:u w:val="single" w:color="0079ff"/>
                                <w:rtl w:val="0"/>
                                <w:lang w:val="de-DE"/>
                                <w14:textFill>
                                  <w14:solidFill>
                                    <w14:srgbClr w14:val="007A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0079ff"/>
                                <w:sz w:val="20"/>
                                <w:szCs w:val="20"/>
                                <w:u w:val="single" w:color="0079ff"/>
                                <w:rtl w:val="0"/>
                                <w:lang w:val="de-DE"/>
                                <w14:textFill>
                                  <w14:solidFill>
                                    <w14:srgbClr w14:val="007A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Industry Experience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Automotive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Financial Services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FMCG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&amp; CPG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Industries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Fashion 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tilities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il and Gas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(upstream)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il and Gas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(downstream)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Nuclear Energy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Telecommunications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Government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Manufacturing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Aerospace and Defence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Pharmaceutical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AP/ERP S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ystems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AP S4/HANA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Suite On HANA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SuccessFactors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Ariba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FIORI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CAR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Hybris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GK POSDM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CRM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SRM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HR/HCM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BI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Oracle / Oracle RETEK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SAP Industry Solutions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IS Retail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FMS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IS AFS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ISU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SAP Oil and Gas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Functional Experience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Program Management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Change Management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Business Process Re-engineering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Corporate Governance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Program Transition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System Integrations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COE/PMO Global Delivery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Methodologies</w:t>
                            </w: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SAP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ASAP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Prince 2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PMP/PMI/PMBOK</w:t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anguages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English, Native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Spanish, Basic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 A"/>
                              <w:spacing w:after="4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German, Basic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4pt;margin-top:-0.0pt;width:143.3pt;height:842.0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10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LinkedIn &amp; Biography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&gt;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instrText xml:space="preserve"> HYPERLINK "https://www.linkedin.com/in/mjdnet"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20"/>
                          <w:szCs w:val="20"/>
                          <w:rtl w:val="0"/>
                          <w:lang w:val="en-GB"/>
                        </w:rPr>
                        <w:t>LinkedIn Profile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&gt;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instrText xml:space="preserve"> HYPERLINK "http://mjd.net/MJD/Bio"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20"/>
                          <w:szCs w:val="20"/>
                          <w:rtl w:val="0"/>
                          <w:lang w:val="en-GB"/>
                        </w:rPr>
                        <w:t>Biography Page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outline w:val="0"/>
                          <w:color w:val="0079ff"/>
                          <w:sz w:val="20"/>
                          <w:szCs w:val="20"/>
                          <w:u w:val="single" w:color="0079ff"/>
                          <w:rtl w:val="0"/>
                          <w:lang w:val="de-DE"/>
                          <w14:textFill>
                            <w14:solidFill>
                              <w14:srgbClr w14:val="007AFF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0079ff"/>
                          <w:sz w:val="20"/>
                          <w:szCs w:val="20"/>
                          <w:u w:val="single" w:color="0079ff"/>
                          <w:rtl w:val="0"/>
                          <w:lang w:val="de-DE"/>
                          <w14:textFill>
                            <w14:solidFill>
                              <w14:srgbClr w14:val="007A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Industry Experience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Automotive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Financial Services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FMCG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&amp; CPG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Industries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Fashion 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tilities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il and Gas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(upstream)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il and Gas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(downstream)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Nuclear Energy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Telecommunications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Government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Manufacturing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Aerospace and Defence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Pharmaceutical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AP/ERP S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ystems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AP S4/HANA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Suite On HANA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SuccessFactors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Ariba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FIORI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CAR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Hybris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GK POSDM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CRM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SRM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HR/HCM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BI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Oracle / Oracle RETEK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SAP Industry Solutions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IS Retail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FMS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IS AFS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ISU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SAP Oil and Gas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Functional Experience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>Program Management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Change Management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Business Process Re-engineering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Corporate Governance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Program Transition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System Integrations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COE/PMO Global Delivery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Methodologies</w:t>
                      </w: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SAP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ASAP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Prince 2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PMP/PMI/PMBOK</w:t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cs="Arial" w:hAnsi="Arial" w:eastAsia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10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anguages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English, Native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Spanish, Basic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 A"/>
                        <w:spacing w:after="4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German, Basic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u w:color="00000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1560921</wp:posOffset>
                </wp:positionH>
                <wp:positionV relativeFrom="page">
                  <wp:posOffset>0</wp:posOffset>
                </wp:positionV>
                <wp:extent cx="5450139" cy="10545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39" cy="1054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:rtl w:val="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  <w:t>Mike Davis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36"/>
                                <w:szCs w:val="36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28"/>
                                <w:szCs w:val="28"/>
                                <w:u w:color="c60c30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c60c30"/>
                                <w:sz w:val="28"/>
                                <w:szCs w:val="28"/>
                                <w:u w:color="c60c30"/>
                                <w:rtl w:val="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  <w:t>SAP CTO and S4HANA Programme Director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c60c30"/>
                                <w:sz w:val="28"/>
                                <w:szCs w:val="28"/>
                                <w:u w:color="c60c30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outline w:val="0"/>
                                <w:color w:val="c60c30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outline w:val="0"/>
                                <w:color w:val="c60c30"/>
                                <w:u w:color="c60c30"/>
                                <w:lang w:val="en-US"/>
                                <w14:textFill>
                                  <w14:solidFill>
                                    <w14:srgbClr w14:val="C60C3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Mike is a Global SAP Retail Programme Transformation and Engagement Director with 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+ years Tier 1 Consultancy background. Managing large scale Business Transformational Change, Global and multi-country role outs - IoT, eCom, Digital, Big Data Delivery. Coupled with a solid technical background as an experienced SAP Suite on HANA and S/4HANA Practitioner.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He has 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elivered multiple large and complex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RFx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bid proposals, business transitions and technical upgrades underpinned by ERP,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SAP, S4HANA,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Ariba, BI,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C4HANA,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CRM, Hybris Hybris Marketing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HR/HCM and Success Factors Transformation programmes and initiatives. Managed multiple turn-around and recovery programmes successfully on time and to budget. Rolled out systems to phased multi-country and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lobal entities.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Mike has a keen sense of ownership and a strong drive to successfully deliver. He is considered a seasoned professional of the highest calibre. Provided Corporate Governance,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RFx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bid proposals, vendor and partner selection processes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Application Consolidation, Migration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and Business Transition Management.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He has 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xcellent endorsements from clients, partners and colleagues from working throughout Europe, Americas, Middle East and Asia.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rtl w:val="0"/>
                                <w:lang w:val="en-US"/>
                              </w:rPr>
                              <w:t>Relevant Business Transformation Experience: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Strategic Program Management professional with 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+ years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experience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Specialising in Business Transformational Change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Global Programme Management, Transformation and Change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Managed Business Transformational Change ERP, IoT, eCom, Big Data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Directed and delivered multiple large and complex business transitions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Multiple turn-around and recovery programmes successfully delivered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Conducted Programme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RFx b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id proposals, selections and evaluations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Managing full RFI/RFQ/RFT/RFP and complex tender processes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Large scale Template Rollouts (complex release management) delivered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Programme budgets in excess of $100M and over 400 consultants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Keen sense of ownership and a strong drive to successfully deliver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Corporate Governance for bid proposal, vendor and partner selection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Excellent endorsements from clients, partners and colleagues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Global experience working in Europe, Americas, Middle East and Asia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Seasoned professional of the highest calibre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16"/>
                                <w:szCs w:val="16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u w:val="single"/>
                                <w:rtl w:val="0"/>
                                <w:lang w:val="en-US"/>
                              </w:rPr>
                              <w:t>SAP Delivery Expertise: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Client Engagement Director for SAP and S/4HANA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Upgrade/Migration experience to SAP suite on HANA and S/4HANA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(Simple Finance / Simple Logistics)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Synchronising manufacturing operations (MES, MII)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HEC, Hana Enterprise Cloud Services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Transition planning, Application Consolidation and Migration.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Hana on Ama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on Web Services (AWS)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on Microsoft Azure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Ariba Procurement and Supply Chain Solutions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Hybris, Hybris Marketing (B2B and B2C)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CAR ePOS and POSDM Solutions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SuccessFactors (HR/HCM) deployments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Multi and Omni Channel, Adobe AEM and Web-Shop integration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Implementing SAP strategic products BI, CRM, and SRM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Industry Solutions delivery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into Financial Services, Retail, Manufacturing, Oil and Gas, and Telecommunications.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nsolidation and co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mplex release management strategies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Relevant Career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Highlights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019-20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SAP CTO and S4HANA Programme Director - Multiple clients - UK and </w:t>
                              <w:tab/>
                              <w:tab/>
                              <w:t xml:space="preserve">Europe for Retail, Manufacturing and Logistics. Providing interim advisory </w:t>
                              <w:tab/>
                              <w:tab/>
                              <w:t>services for SAP and Strategic Partners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016-19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Head of Enterprise Services (HMRC - Financial Services)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S/4HANA Delivery - Middle East/APAC/Asia/Europe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for Retail, Manufacturing, Utilities and Oil &amp; Gas clients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2015-16</w:t>
                              <w:tab/>
                              <w:t>SAP Partner - European and Global SAP S/4HANA Client Engagement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Director - European SAP Retail Partner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- UK Retail Banking IM and Big Data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ind w:left="1440"/>
                              <w:outlineLvl w:val="0"/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SAP S/4HANA Engagement Partner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clear" w:pos="115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1997-20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14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SAP Programme Director - Multiple clients including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Saudi Electric Company -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Saudi Arabia (KSA)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Bowen &amp; Bowen a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Central American Retailer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Co-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Operative Retail Food Group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Al Futtaim Motors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AXA Insurance, Vodafone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Global Enterprise,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Esprit Global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Adidas Group - Retail, Reebok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Statoil Hydro,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Mets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-Serla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INA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British Airways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United Nations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Deutsche Telecom, General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Motors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Shell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Oil &amp; Gas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Rotterdam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ICI Group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Reebok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Royal Sun Alliance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British Nuclear Fuels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BAE Systems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British Rail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Post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Offices,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laxoSmithKline (GSK)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, B</w:t>
                            </w: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rtl w:val="0"/>
                                <w:lang w:val="en-US"/>
                              </w:rPr>
                              <w:t>ritish Rail and RS Components.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2.9pt;margin-top:-0.0pt;width:429.1pt;height:830.3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:rtl w:val="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  <w:t>Mike Davis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36"/>
                          <w:szCs w:val="36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28"/>
                          <w:szCs w:val="28"/>
                          <w:u w:color="c60c30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c60c30"/>
                          <w:sz w:val="28"/>
                          <w:szCs w:val="28"/>
                          <w:u w:color="c60c30"/>
                          <w:rtl w:val="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  <w:t>SAP CTO and S4HANA Programme Director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c60c30"/>
                          <w:sz w:val="28"/>
                          <w:szCs w:val="28"/>
                          <w:u w:color="c60c30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1"/>
                          <w:bCs w:val="1"/>
                          <w:caps w:val="0"/>
                          <w:smallCaps w:val="0"/>
                          <w:outline w:val="0"/>
                          <w:color w:val="c60c30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outline w:val="0"/>
                          <w:color w:val="c60c30"/>
                          <w:u w:color="c60c30"/>
                          <w:lang w:val="en-US"/>
                          <w14:textFill>
                            <w14:solidFill>
                              <w14:srgbClr w14:val="C60C30"/>
                            </w14:solidFill>
                          </w14:textFill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Mike is a Global SAP Retail Programme Transformation and Engagement Director with 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+ years Tier 1 Consultancy background. Managing large scale Business Transformational Change, Global and multi-country role outs - IoT, eCom, Digital, Big Data Delivery. Coupled with a solid technical background as an experienced SAP Suite on HANA and S/4HANA Practitioner.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He has 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elivered multiple large and complex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RFx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bid proposals, business transitions and technical upgrades underpinned by ERP,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SAP, S4HANA,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Ariba, BI,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C4HANA,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CRM, Hybris Hybris Marketing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HR/HCM and Success Factors Transformation programmes and initiatives. Managed multiple turn-around and recovery programmes successfully on time and to budget. Rolled out systems to phased multi-country and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lobal entities.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Mike has a keen sense of ownership and a strong drive to successfully deliver. He is considered a seasoned professional of the highest calibre. Provided Corporate Governance,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RFx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bid proposals, vendor and partner selection processes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Application Consolidation, Migration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and Business Transition Management.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He has 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xcellent endorsements from clients, partners and colleagues from working throughout Europe, Americas, Middle East and Asia.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rtl w:val="0"/>
                          <w:lang w:val="en-US"/>
                        </w:rPr>
                        <w:t>Relevant Business Transformation Experience: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Strategic Program Management professional with 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+ years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experience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Specialising in Business Transformational Change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Global Programme Management, Transformation and Change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Managed Business Transformational Change ERP, IoT, eCom, Big Data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Directed and delivered multiple large and complex business transitions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Multiple turn-around and recovery programmes successfully delivered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Conducted Programme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RFx b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id proposals, selections and evaluations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Managing full RFI/RFQ/RFT/RFP and complex tender processes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Large scale Template Rollouts (complex release management) delivered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Programme budgets in excess of $100M and over 400 consultants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Keen sense of ownership and a strong drive to successfully deliver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Corporate Governance for bid proposal, vendor and partner selection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Excellent endorsements from clients, partners and colleagues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Global experience working in Europe, Americas, Middle East and Asia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Seasoned professional of the highest calibre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16"/>
                          <w:szCs w:val="16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u w:val="single"/>
                          <w:rtl w:val="0"/>
                          <w:lang w:val="en-US"/>
                        </w:rPr>
                        <w:t>SAP Delivery Expertise: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Client Engagement Director for SAP and S/4HANA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Upgrade/Migration experience to SAP suite on HANA and S/4HANA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(Simple Finance / Simple Logistics)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Synchronising manufacturing operations (MES, MII)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HEC, Hana Enterprise Cloud Services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Transition planning, Application Consolidation and Migration.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Hana on Ama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z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on Web Services (AWS)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on Microsoft Azure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Ariba Procurement and Supply Chain Solutions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Hybris, Hybris Marketing (B2B and B2C)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CAR ePOS and POSDM Solutions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SuccessFactors (HR/HCM) deployments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Multi and Omni Channel, Adobe AEM and Web-Shop integration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Implementing SAP strategic products BI, CRM, and SRM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Industry Solutions delivery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into Financial Services, Retail, Manufacturing, Oil and Gas, and Telecommunications.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nsolidation and co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mplex release management strategies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cs="Arial" w:hAnsi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Relevant Career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Highlights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019-20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SAP CTO and S4HANA Programme Director - Multiple clients - UK and </w:t>
                        <w:tab/>
                        <w:tab/>
                        <w:t xml:space="preserve">Europe for Retail, Manufacturing and Logistics. Providing interim advisory </w:t>
                        <w:tab/>
                        <w:tab/>
                        <w:t>services for SAP and Strategic Partners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016-19</w:t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Head of Enterprise Services (HMRC - Financial Services)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S/4HANA Delivery - Middle East/APAC/Asia/Europe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for Retail, Manufacturing, Utilities and Oil &amp; Gas clients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2015-16</w:t>
                        <w:tab/>
                        <w:t>SAP Partner - European and Global SAP S/4HANA Client Engagement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Director - European SAP Retail Partner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- UK Retail Banking IM and Big Data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ind w:left="1440"/>
                        <w:outlineLvl w:val="0"/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SAP S/4HANA Engagement Partner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clear" w:pos="1150"/>
                        </w:tabs>
                        <w:suppressAutoHyphens w:val="1"/>
                        <w:outlineLvl w:val="0"/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1997-20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14</w:t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SAP Programme Director - Multiple clients including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Saudi Electric Company -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Saudi Arabia (KSA)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Bowen &amp; Bowen a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Central American Retailer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Co-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Operative Retail Food Group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Al Futtaim Motors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AXA Insurance, Vodafone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Global Enterprise,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Esprit Global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Adidas Group - Retail, Reebok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Statoil Hydro,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Mets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-Serla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INA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British Airways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United Nations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Deutsche Telecom, General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lang w:val="en-US"/>
                        </w:rPr>
                        <w:tab/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Motors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Shell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Oil &amp; Gas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Rotterdam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ICI Group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Reebok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Royal Sun Alliance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  <w:tab/>
                        <w:tab/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British Nuclear Fuels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BAE Systems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British Rail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Post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Offices,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ab/>
                        <w:tab/>
                        <w:tab/>
                        <w:t>G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laxoSmithKline (GSK)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, B</w:t>
                      </w:r>
                      <w:r>
                        <w:rPr>
                          <w:b w:val="0"/>
                          <w:bCs w:val="0"/>
                          <w:caps w:val="0"/>
                          <w:smallCaps w:val="0"/>
                          <w:rtl w:val="0"/>
                          <w:lang w:val="en-US"/>
                        </w:rPr>
                        <w:t>ritish Rail and RS Components.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u w:color="00000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5625629</wp:posOffset>
            </wp:positionH>
            <wp:positionV relativeFrom="page">
              <wp:posOffset>226644</wp:posOffset>
            </wp:positionV>
            <wp:extent cx="1385432" cy="4156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JD-LOGO.001-crop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32" cy="415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-240459</wp:posOffset>
            </wp:positionH>
            <wp:positionV relativeFrom="page">
              <wp:posOffset>80</wp:posOffset>
            </wp:positionV>
            <wp:extent cx="2129539" cy="10693356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29539" cy="10693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2300835</wp:posOffset>
                </wp:positionH>
                <wp:positionV relativeFrom="page">
                  <wp:posOffset>226644</wp:posOffset>
                </wp:positionV>
                <wp:extent cx="2954829" cy="4318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29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center" w:pos="4819"/>
                                <w:tab w:val="right" w:pos="9612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📞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+447771821777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🇬🇧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 or  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+1(352)505-2825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🇺🇸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center" w:pos="4819"/>
                                <w:tab w:val="right" w:pos="9612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💻</w: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"http://www.mjd.net"</w:instrTex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www.mjd.net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✉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️</w: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"mailto:mike@mjd.net"</w:instrText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nk"/>
                                <w:outline w:val="0"/>
                                <w:color w:val="0000ff"/>
                                <w:sz w:val="20"/>
                                <w:szCs w:val="20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mike@mjd.net</w:t>
                            </w:r>
                            <w:r>
                              <w:rPr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1.2pt;margin-top:17.8pt;width:232.7pt;height:3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center" w:pos="4819"/>
                          <w:tab w:val="right" w:pos="9612"/>
                        </w:tabs>
                        <w:bidi w:val="0"/>
                        <w:ind w:left="0" w:right="0" w:firstLine="0"/>
                        <w:jc w:val="center"/>
                        <w:rPr>
                          <w:i w:val="1"/>
                          <w:i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📞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+447771821777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🇬🇧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 or  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t>+1(352)505-2825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🇺🇸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center" w:pos="4819"/>
                          <w:tab w:val="right" w:pos="9612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💻</w: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"http://www.mjd.net"</w:instrTex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www.mjd.net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✉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️</w: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"mailto:mike@mjd.net"</w:instrText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Link"/>
                          <w:outline w:val="0"/>
                          <w:color w:val="0000ff"/>
                          <w:sz w:val="20"/>
                          <w:szCs w:val="20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mike@mjd.net</w:t>
                      </w:r>
                      <w:r>
                        <w:rPr>
                          <w:sz w:val="20"/>
                          <w:szCs w:val="20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134" w:right="567" w:bottom="13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