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1560"/>
        </w:tabs>
        <w:spacing w:after="40"/>
        <w:ind w:left="1260" w:firstLine="720"/>
        <w:outlineLvl w:val="0"/>
      </w:pPr>
      <w:r>
        <w:rPr>
          <w:rFonts w:ascii="Arial" w:hAnsi="Arial"/>
          <w:sz w:val="20"/>
          <w:szCs w:val="20"/>
          <w:u w:color="00000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-297577</wp:posOffset>
                </wp:positionH>
                <wp:positionV relativeFrom="page">
                  <wp:posOffset>0</wp:posOffset>
                </wp:positionV>
                <wp:extent cx="1820400" cy="10693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400" cy="1069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LinkedIn &amp; Biography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&gt; </w: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instrText xml:space="preserve"> HYPERLINK "https://www.linkedin.com/in/mjdnet"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GB"/>
                              </w:rPr>
                              <w:t>LinkedIn Profile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&gt; </w: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instrText xml:space="preserve"> HYPERLINK "http://mjd.net/_MJD/Bio.html"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GB"/>
                              </w:rPr>
                              <w:t>Biography Page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outline w:val="0"/>
                                <w:color w:val="0079ff"/>
                                <w:sz w:val="20"/>
                                <w:szCs w:val="20"/>
                                <w:u w:val="single" w:color="0079ff"/>
                                <w:rtl w:val="0"/>
                                <w:lang w:val="de-DE"/>
                                <w14:textFill>
                                  <w14:solidFill>
                                    <w14:srgbClr w14:val="007A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0079ff"/>
                                <w:sz w:val="20"/>
                                <w:szCs w:val="20"/>
                                <w:u w:val="single" w:color="0079ff"/>
                                <w:rtl w:val="0"/>
                                <w:lang w:val="de-DE"/>
                                <w14:textFill>
                                  <w14:solidFill>
                                    <w14:srgbClr w14:val="007A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Industry Experience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Automotive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Financial Services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Retail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FMCG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&amp; CPG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Industries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Fashion Retail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tilities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il and Gas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(upstream)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il and Gas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(downstream)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Nuclear Energy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Telecommunications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Government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Manufacturing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Technology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Aerospace and Defence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Pharmaceutical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AP/ERP S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ystems</w:t>
                            </w: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AP S4/HANA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Suite On HANA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SAP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SuccessFactors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Ariba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FIORI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CAR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Hybris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GK POSDM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CRM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SRM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HR/HCM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BI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Oracle / Oracle RETEK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SAP Industry Solutions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SAP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IS Retail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FMS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IS AFS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ISU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Oil and Gas</w:t>
                            </w: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Functional Experience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Program Management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Change Management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Business Process Re-engineering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Corporate Governance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Program Transition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System Integrations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COE/PMO Global Delivery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Methodologies</w:t>
                            </w: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SAP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ASAP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Prince 2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PMP/PMI/PMBOK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anguages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English, Native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Spanish, Basic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German, Basic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3.4pt;margin-top:-0.0pt;width:143.3pt;height:842.0pt;z-index:251660288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10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10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100"/>
                        <w:rPr>
                          <w:rFonts w:ascii="Arial" w:cs="Arial" w:hAnsi="Arial" w:eastAsia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LinkedIn &amp; Biography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de-DE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&gt; </w: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20"/>
                          <w:szCs w:val="20"/>
                        </w:rPr>
                        <w:instrText xml:space="preserve"> HYPERLINK "https://www.linkedin.com/in/mjdnet"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hAnsi="Arial"/>
                          <w:sz w:val="20"/>
                          <w:szCs w:val="20"/>
                          <w:rtl w:val="0"/>
                          <w:lang w:val="en-GB"/>
                        </w:rPr>
                        <w:t>LinkedIn Profile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  <w:fldChar w:fldCharType="end" w:fldLock="0"/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de-DE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&gt; </w: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20"/>
                          <w:szCs w:val="20"/>
                        </w:rPr>
                        <w:instrText xml:space="preserve"> HYPERLINK "http://mjd.net/_MJD/Bio.html"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hAnsi="Arial"/>
                          <w:sz w:val="20"/>
                          <w:szCs w:val="20"/>
                          <w:rtl w:val="0"/>
                          <w:lang w:val="en-GB"/>
                        </w:rPr>
                        <w:t>Biography Page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  <w:fldChar w:fldCharType="end" w:fldLock="0"/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de-DE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outline w:val="0"/>
                          <w:color w:val="0079ff"/>
                          <w:sz w:val="20"/>
                          <w:szCs w:val="20"/>
                          <w:u w:val="single" w:color="0079ff"/>
                          <w:rtl w:val="0"/>
                          <w:lang w:val="de-DE"/>
                          <w14:textFill>
                            <w14:solidFill>
                              <w14:srgbClr w14:val="007AFF"/>
                            </w14:solidFill>
                          </w14:textFill>
                        </w:rPr>
                      </w:pPr>
                      <w:r>
                        <w:rPr>
                          <w:rFonts w:ascii="Arial" w:cs="Arial" w:hAnsi="Arial" w:eastAsia="Arial"/>
                          <w:outline w:val="0"/>
                          <w:color w:val="0079ff"/>
                          <w:sz w:val="20"/>
                          <w:szCs w:val="20"/>
                          <w:u w:val="single" w:color="0079ff"/>
                          <w:rtl w:val="0"/>
                          <w:lang w:val="de-DE"/>
                          <w14:textFill>
                            <w14:solidFill>
                              <w14:srgbClr w14:val="007AF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spacing w:after="10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Industry Experience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Automotive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Financial Services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Retail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FMCG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&amp; CPG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Industries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Fashion Retail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tilities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il and Gas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 (upstream)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il and Gas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 (downstream)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Nuclear Energy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Telecommunications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Government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Manufacturing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Technology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Aerospace and Defence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it-IT"/>
                        </w:rPr>
                        <w:t>Pharmaceutical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AP/ERP S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ystems</w:t>
                      </w:r>
                      <w:r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AP S4/HANA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Suite On HANA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SAP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SuccessFactors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Ariba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FIORI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CAR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Hybris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GK POSDM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CRM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SRM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HR/HCM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BI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Oracle / Oracle RETEK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100"/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SAP Industry Solutions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SAP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IS Retail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FMS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IS AFS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ISU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Oil and Gas</w:t>
                      </w:r>
                      <w:r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Functional Experience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de-DE"/>
                        </w:rPr>
                        <w:t>Program Management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Change Management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Business Process Re-engineering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Corporate Governance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Program Transition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System Integrations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COE/PMO Global Delivery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100"/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Methodologies</w:t>
                      </w:r>
                      <w:r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SAP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ASAP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Prince 2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PMP/PMI/PMBOK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spacing w:after="10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anguages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English, Native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Spanish, Basic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German, Basic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Fonts w:ascii="Arial" w:cs="Arial" w:hAnsi="Arial" w:eastAsia="Arial"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1560921</wp:posOffset>
                </wp:positionH>
                <wp:positionV relativeFrom="page">
                  <wp:posOffset>0</wp:posOffset>
                </wp:positionV>
                <wp:extent cx="5450139" cy="10545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139" cy="10545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c60c30"/>
                                <w:sz w:val="36"/>
                                <w:szCs w:val="36"/>
                                <w:u w:color="c60c30"/>
                                <w14:textFill>
                                  <w14:solidFill>
                                    <w14:srgbClr w14:val="C60C3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c60c30"/>
                                <w:sz w:val="36"/>
                                <w:szCs w:val="36"/>
                                <w:u w:color="c60c30"/>
                                <w:rtl w:val="0"/>
                                <w:lang w:val="en-US"/>
                                <w14:textFill>
                                  <w14:solidFill>
                                    <w14:srgbClr w14:val="C60C30"/>
                                  </w14:solidFill>
                                </w14:textFill>
                              </w:rPr>
                              <w:t>Mike Davis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c60c30"/>
                                <w:sz w:val="36"/>
                                <w:szCs w:val="36"/>
                                <w:u w:color="c60c30"/>
                                <w14:textFill>
                                  <w14:solidFill>
                                    <w14:srgbClr w14:val="C60C3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outline w:val="0"/>
                                <w:color w:val="c60c30"/>
                                <w:u w:color="c60c30"/>
                                <w:lang w:val="en-US"/>
                                <w14:textFill>
                                  <w14:solidFill>
                                    <w14:srgbClr w14:val="C60C3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outline w:val="0"/>
                                <w:color w:val="c60c30"/>
                                <w:u w:color="c60c30"/>
                                <w:lang w:val="en-US"/>
                                <w14:textFill>
                                  <w14:solidFill>
                                    <w14:srgbClr w14:val="C60C3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Mike is a Global SAP Retail Programme Transformation and Engagement Director with 2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+ years Tier 1 Consultancy background. Managing large scale Business Transformational Change, Global and multi-country role outs - IoT, eCom, Digital, Big Data Delivery. Coupled with a solid technical background as an experienced SAP Suite on HANA and S/4HANA Practitioner.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He has d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elivered multiple large and complex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RFx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bid proposals, business transitions and technical upgrades underpinned by ERP,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SAP, S4HANA,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Ariba, BI,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C4HANA,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CRM, Hybris Hybris Marketing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HR/HCM and Success Factors Transformation programmes and initiatives. Managed multiple turn-around and recovery programmes successfully on time and to budget. Rolled out systems to phased multi-country and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lobal entities.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Mike has a keen sense of ownership and a strong drive to successfully deliver. He is considered a seasoned professional of the highest calibre. Provided Corporate Governance,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RFx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bid proposals, vendor and partner selection processes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 Application Consolidation, Migration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and Business Transition Management.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He has 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xcellent endorsements from clients, partners and colleagues from working throughout Europe, Americas, Middle East and Asia.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sz w:val="16"/>
                                <w:szCs w:val="16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u w:val="single"/>
                                <w:rtl w:val="0"/>
                                <w:lang w:val="en-US"/>
                              </w:rPr>
                              <w:t>Relevant Business Transformation Experience: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Strategic Program Management professional with 2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+ years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experience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Specialising in Business Transformational Change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Global Programme Management, Transformation and Change Delivery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Managed Business Transformational Change ERP, IoT, eCom, Big Data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Directed and delivered multiple large and complex business transitions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Multiple turn-around and recovery programmes successfully delivered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Conducted Programme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RFx b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id proposals, selections and evaluations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Managing full RFI/RFQ/RFT/RFP and complex tender processes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Large scale Template Rollouts (complex release management) delivered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Programme budgets in excess of $100M and over 400 consultants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Keen sense of ownership and a strong drive to successfully deliver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Corporate Governance for bid proposal, vendor and partner selection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Excellent endorsements from clients, partners and colleagues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Global experience working in Europe, Americas, Middle East and Asia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Seasoned professional of the highest calibre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sz w:val="16"/>
                                <w:szCs w:val="16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u w:val="single"/>
                                <w:rtl w:val="0"/>
                                <w:lang w:val="en-US"/>
                              </w:rPr>
                              <w:t>SAP Delivery Expertise: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Client Engagement Director for SAP and S/4HANA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Upgrade/Migration experience to SAP suite on HANA and S/4HANA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(Simple Finance / Simple Logistics)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Synchronising manufacturing operations (MES, MII)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HEC, Hana Enterprise Cloud Services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 Transition planning, Application Consolidation and Migration.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Hana on Ama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on Web Services (AWS)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on Microsoft Azure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Ariba Procurement and Supply Chain Solutions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Hybris, Hybris Marketing (B2B and B2C) delivery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CAR ePOS and POSDM Solutions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SuccessFactors (HR/HCM) deployments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Multi and Omni Channel, Adobe AEM and Web-Shop integration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Implementing SAP strategic products BI, CRM, and SRM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Industry Solutions delivery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into Financial Services, Retail, Manufacturing, Oil and Gas, and Telecommunications.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Co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nsolidation and co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mplex release management strategies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Relevant Career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Highlights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2016-19</w:t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Head of Enterprise Services (HMRC - Financial Services)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ind w:left="1440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S/4HANA Delivery - Middle East/APAC/Asia/Europe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for Retail, Manufacturing, Utilities and Oil &amp; Gas clients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2015-16</w:t>
                              <w:tab/>
                              <w:t>SAP Partner - European and Global SAP S/4HANA Client Engagement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Director - European SAP Retail Partner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- UK Retail Banking IM and Big Data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ind w:left="1440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S/4HANA Engagement Partner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2012-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14</w:t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SAP Programme Director -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Saudi Electric Company - Saudi Arabia (KSA)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Central American Retailer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Co-Operative Retail Food Group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1997-2012</w:t>
                              <w:tab/>
                              <w:t>SAP Programme Director - SAP deliveries for multiple clients and consulting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partners SAP UK - Retail,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MENA (UAE) for Al Futtaim Motors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ind w:left="1440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AXA Insurance, Vodafone Global Enterprise,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Esprit Global - Fashion Retailer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Adidas Group - Retail, Fashion (M&amp;A), Reebok - Retail Fashion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ind w:left="1440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Statoil Hydro - Retail Oil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&amp;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Gas (M&amp;A), Mets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ä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-Serla Helsinki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Paper manufacturer,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INA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State Oil &amp; Gas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Croatia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British Airways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United Nations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ind w:left="1440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Deutsche Telecom, General Motors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Shell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Oil &amp; Gas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Rotterdam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ICI Group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Reebok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Royal Sun Alliance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British Nuclear Fuels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BAE Systems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British Rail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ind w:left="1440"/>
                              <w:outlineLvl w:val="0"/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Post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Offices,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GlaxoSmithKline (GSK)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 B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ritish Rail and RS Components.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22.9pt;margin-top:-0.0pt;width:429.1pt;height:830.3pt;z-index:25166131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c60c30"/>
                          <w:sz w:val="36"/>
                          <w:szCs w:val="36"/>
                          <w:u w:color="c60c30"/>
                          <w14:textFill>
                            <w14:solidFill>
                              <w14:srgbClr w14:val="C60C3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c60c30"/>
                          <w:sz w:val="36"/>
                          <w:szCs w:val="36"/>
                          <w:u w:color="c60c30"/>
                          <w:rtl w:val="0"/>
                          <w:lang w:val="en-US"/>
                          <w14:textFill>
                            <w14:solidFill>
                              <w14:srgbClr w14:val="C60C30"/>
                            </w14:solidFill>
                          </w14:textFill>
                        </w:rPr>
                        <w:t>Mike Davis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c60c30"/>
                          <w:sz w:val="36"/>
                          <w:szCs w:val="36"/>
                          <w:u w:color="c60c30"/>
                          <w14:textFill>
                            <w14:solidFill>
                              <w14:srgbClr w14:val="C60C30"/>
                            </w14:solidFill>
                          </w14:textFill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1"/>
                          <w:bCs w:val="1"/>
                          <w:caps w:val="0"/>
                          <w:smallCaps w:val="0"/>
                          <w:outline w:val="0"/>
                          <w:color w:val="c60c30"/>
                          <w:u w:color="c60c30"/>
                          <w:lang w:val="en-US"/>
                          <w14:textFill>
                            <w14:solidFill>
                              <w14:srgbClr w14:val="C60C3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outline w:val="0"/>
                          <w:color w:val="c60c30"/>
                          <w:u w:color="c60c30"/>
                          <w:lang w:val="en-US"/>
                          <w14:textFill>
                            <w14:solidFill>
                              <w14:srgbClr w14:val="C60C30"/>
                            </w14:solidFill>
                          </w14:textFill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Mike is a Global SAP Retail Programme Transformation and Engagement Director with 2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+ years Tier 1 Consultancy background. Managing large scale Business Transformational Change, Global and multi-country role outs - IoT, eCom, Digital, Big Data Delivery. Coupled with a solid technical background as an experienced SAP Suite on HANA and S/4HANA Practitioner.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He has d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elivered multiple large and complex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RFx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bid proposals, business transitions and technical upgrades underpinned by ERP,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SAP, S4HANA,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Ariba, BI,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C4HANA,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CRM, Hybris Hybris Marketing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HR/HCM and Success Factors Transformation programmes and initiatives. Managed multiple turn-around and recovery programmes successfully on time and to budget. Rolled out systems to phased multi-country and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G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lobal entities.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Mike has a keen sense of ownership and a strong drive to successfully deliver. He is considered a seasoned professional of the highest calibre. Provided Corporate Governance,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RFx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bid proposals, vendor and partner selection processes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 Application Consolidation, Migration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and Business Transition Management.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He has 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xcellent endorsements from clients, partners and colleagues from working throughout Europe, Americas, Middle East and Asia.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sz w:val="16"/>
                          <w:szCs w:val="16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u w:val="single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u w:val="single"/>
                          <w:rtl w:val="0"/>
                          <w:lang w:val="en-US"/>
                        </w:rPr>
                        <w:t>Relevant Business Transformation Experience: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Strategic Program Management professional with 2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+ years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experience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Specialising in Business Transformational Change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Global Programme Management, Transformation and Change Delivery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Managed Business Transformational Change ERP, IoT, eCom, Big Data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Directed and delivered multiple large and complex business transitions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Multiple turn-around and recovery programmes successfully delivered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Conducted Programme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RFx b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id proposals, selections and evaluations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Managing full RFI/RFQ/RFT/RFP and complex tender processes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Large scale Template Rollouts (complex release management) delivered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Programme budgets in excess of $100M and over 400 consultants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Keen sense of ownership and a strong drive to successfully deliver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Corporate Governance for bid proposal, vendor and partner selection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Excellent endorsements from clients, partners and colleagues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Global experience working in Europe, Americas, Middle East and Asia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Seasoned professional of the highest calibre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sz w:val="16"/>
                          <w:szCs w:val="16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u w:val="single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u w:val="single"/>
                          <w:rtl w:val="0"/>
                          <w:lang w:val="en-US"/>
                        </w:rPr>
                        <w:t>SAP Delivery Expertise: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Client Engagement Director for SAP and S/4HANA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Upgrade/Migration experience to SAP suite on HANA and S/4HANA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(Simple Finance / Simple Logistics)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Synchronising manufacturing operations (MES, MII)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HEC, Hana Enterprise Cloud Services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 Transition planning, Application Consolidation and Migration.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Hana on Ama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z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on Web Services (AWS)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on Microsoft Azure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Ariba Procurement and Supply Chain Solutions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Hybris, Hybris Marketing (B2B and B2C) delivery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CAR ePOS and POSDM Solutions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SuccessFactors (HR/HCM) deployments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Multi and Omni Channel, Adobe AEM and Web-Shop integration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Implementing SAP strategic products BI, CRM, and SRM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Industry Solutions delivery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into Financial Services, Retail, Manufacturing, Oil and Gas, and Telecommunications.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Co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nsolidation and co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mplex release management strategies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Relevant Career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Highlights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: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2016-19</w:t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Head of Enterprise Services (HMRC - Financial Services)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ind w:left="1440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S/4HANA Delivery - Middle East/APAC/Asia/Europe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for Retail, Manufacturing, Utilities and Oil &amp; Gas clients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2015-16</w:t>
                        <w:tab/>
                        <w:t>SAP Partner - European and Global SAP S/4HANA Client Engagement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Director - European SAP Retail Partner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- UK Retail Banking IM and Big Data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ind w:left="1440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S/4HANA Engagement Partner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2012-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14</w:t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SAP Programme Director -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Saudi Electric Company - Saudi Arabia (KSA)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Central American Retailer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Co-Operative Retail Food Group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1997-2012</w:t>
                        <w:tab/>
                        <w:t>SAP Programme Director - SAP deliveries for multiple clients and consulting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partners SAP UK - Retail,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MENA (UAE) for Al Futtaim Motors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ind w:left="1440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AXA Insurance, Vodafone Global Enterprise,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Esprit Global - Fashion Retailer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Adidas Group - Retail, Fashion (M&amp;A), Reebok - Retail Fashion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ind w:left="1440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Statoil Hydro - Retail Oil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&amp;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Gas (M&amp;A), Mets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ä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-Serla Helsinki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Paper manufacturer,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INA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State Oil &amp; Gas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Croatia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British Airways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United Nations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ind w:left="1440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Deutsche Telecom, General Motors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Shell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Oil &amp; Gas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Rotterdam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ICI Group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Reebok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Royal Sun Alliance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British Nuclear Fuels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BAE Systems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British Rail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ind w:left="1440"/>
                        <w:outlineLvl w:val="0"/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Post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Offices,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GlaxoSmithKline (GSK)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 B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ritish Rail and RS Components.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Fonts w:ascii="Arial" w:cs="Arial" w:hAnsi="Arial" w:eastAsia="Arial"/>
          <w:sz w:val="20"/>
          <w:szCs w:val="20"/>
          <w:u w:color="00000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5625629</wp:posOffset>
            </wp:positionH>
            <wp:positionV relativeFrom="page">
              <wp:posOffset>226644</wp:posOffset>
            </wp:positionV>
            <wp:extent cx="1385432" cy="4156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JD-LOGO.001-crop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32" cy="415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-240459</wp:posOffset>
            </wp:positionH>
            <wp:positionV relativeFrom="page">
              <wp:posOffset>80</wp:posOffset>
            </wp:positionV>
            <wp:extent cx="2129539" cy="10693356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29539" cy="10693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2300835</wp:posOffset>
                </wp:positionH>
                <wp:positionV relativeFrom="page">
                  <wp:posOffset>226644</wp:posOffset>
                </wp:positionV>
                <wp:extent cx="2954829" cy="4318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829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center" w:pos="4819"/>
                                <w:tab w:val="right" w:pos="9612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📞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+447771821777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🇬🇧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 or  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+1(352)505-2825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🇺🇸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center" w:pos="4819"/>
                                <w:tab w:val="right" w:pos="9612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💻</w:t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"http://www.mjd.net"</w:instrText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www.mjd.net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✉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️</w:t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"mailto:mike@mjd.net"</w:instrText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mike@mjd.net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1.2pt;margin-top:17.8pt;width:232.7pt;height:34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center" w:pos="4819"/>
                          <w:tab w:val="right" w:pos="9612"/>
                        </w:tabs>
                        <w:bidi w:val="0"/>
                        <w:ind w:left="0" w:right="0" w:firstLine="0"/>
                        <w:jc w:val="center"/>
                        <w:rPr>
                          <w:i w:val="1"/>
                          <w:i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📞</w:t>
                      </w:r>
                      <w:r>
                        <w:rPr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+447771821777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🇬🇧</w:t>
                      </w:r>
                      <w:r>
                        <w:rPr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 or  </w:t>
                      </w:r>
                      <w:r>
                        <w:rPr>
                          <w:sz w:val="20"/>
                          <w:szCs w:val="20"/>
                          <w:u w:color="000000"/>
                          <w:rtl w:val="0"/>
                        </w:rPr>
                        <w:t>+1(352)505-2825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🇺🇸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r>
                    </w:p>
                    <w:p>
                      <w:pPr>
                        <w:pStyle w:val="Default"/>
                        <w:tabs>
                          <w:tab w:val="center" w:pos="4819"/>
                          <w:tab w:val="right" w:pos="9612"/>
                        </w:tabs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💻</w:t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"http://www.mjd.net"</w:instrText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www.mjd.net</w:t>
                      </w:r>
                      <w:r>
                        <w:rPr>
                          <w:sz w:val="20"/>
                          <w:szCs w:val="20"/>
                          <w:u w:color="000000"/>
                          <w:rtl w:val="0"/>
                        </w:rPr>
                        <w:fldChar w:fldCharType="end" w:fldLock="0"/>
                      </w:r>
                      <w:r>
                        <w:rPr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✉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️</w:t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"mailto:mike@mjd.net"</w:instrText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mike@mjd.net</w:t>
                      </w:r>
                      <w:r>
                        <w:rPr>
                          <w:sz w:val="20"/>
                          <w:szCs w:val="20"/>
                          <w:u w:color="000000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1134" w:right="567" w:bottom="1367" w:left="56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